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2D9" w:rsidRPr="007112D9" w:rsidRDefault="007112D9" w:rsidP="007112D9">
      <w:pPr>
        <w:pStyle w:val="Web"/>
        <w:jc w:val="center"/>
        <w:rPr>
          <w:rFonts w:ascii="微軟正黑體" w:eastAsia="微軟正黑體" w:hAnsi="微軟正黑體"/>
          <w:b/>
          <w:color w:val="000000"/>
          <w:sz w:val="21"/>
          <w:szCs w:val="21"/>
        </w:rPr>
      </w:pPr>
      <w:r w:rsidRPr="007112D9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3F3F3"/>
        </w:rPr>
        <w:t>108年大學甄選入學面試技巧說明會活動報導</w:t>
      </w:r>
      <w:bookmarkStart w:id="0" w:name="_GoBack"/>
      <w:bookmarkEnd w:id="0"/>
    </w:p>
    <w:p w:rsidR="009868BC" w:rsidRDefault="009868BC" w:rsidP="009868BC">
      <w:pPr>
        <w:pStyle w:val="Web"/>
        <w:rPr>
          <w:rFonts w:ascii="微軟正黑體" w:eastAsia="微軟正黑體" w:hAnsi="微軟正黑體"/>
          <w:color w:val="000000"/>
          <w:sz w:val="27"/>
          <w:szCs w:val="27"/>
        </w:rPr>
      </w:pPr>
      <w:r>
        <w:rPr>
          <w:rFonts w:ascii="微軟正黑體" w:eastAsia="微軟正黑體" w:hAnsi="微軟正黑體" w:hint="eastAsia"/>
          <w:color w:val="000000"/>
          <w:sz w:val="21"/>
          <w:szCs w:val="21"/>
        </w:rPr>
        <w:t> 隨著大學</w:t>
      </w:r>
      <w:proofErr w:type="gramStart"/>
      <w:r>
        <w:rPr>
          <w:rFonts w:ascii="微軟正黑體" w:eastAsia="微軟正黑體" w:hAnsi="微軟正黑體" w:hint="eastAsia"/>
          <w:color w:val="000000"/>
          <w:sz w:val="21"/>
          <w:szCs w:val="21"/>
        </w:rPr>
        <w:t>學</w:t>
      </w:r>
      <w:proofErr w:type="gramEnd"/>
      <w:r>
        <w:rPr>
          <w:rFonts w:ascii="微軟正黑體" w:eastAsia="微軟正黑體" w:hAnsi="微軟正黑體" w:hint="eastAsia"/>
          <w:color w:val="000000"/>
          <w:sz w:val="21"/>
          <w:szCs w:val="21"/>
        </w:rPr>
        <w:t>測成績放榜，因應各式不同升學管道之所需，高三同學們即如火如荼的進行一系列升學準備。近年來，多數大學在個人申請的第二階段皆</w:t>
      </w:r>
      <w:proofErr w:type="gramStart"/>
      <w:r>
        <w:rPr>
          <w:rFonts w:ascii="微軟正黑體" w:eastAsia="微軟正黑體" w:hAnsi="微軟正黑體" w:hint="eastAsia"/>
          <w:color w:val="000000"/>
          <w:sz w:val="21"/>
          <w:szCs w:val="21"/>
        </w:rPr>
        <w:t>包含備審資料</w:t>
      </w:r>
      <w:proofErr w:type="gramEnd"/>
      <w:r>
        <w:rPr>
          <w:rFonts w:ascii="微軟正黑體" w:eastAsia="微軟正黑體" w:hAnsi="微軟正黑體" w:hint="eastAsia"/>
          <w:color w:val="000000"/>
          <w:sz w:val="21"/>
          <w:szCs w:val="21"/>
        </w:rPr>
        <w:t>與面試二部分，</w:t>
      </w:r>
      <w:proofErr w:type="gramStart"/>
      <w:r>
        <w:rPr>
          <w:rFonts w:ascii="微軟正黑體" w:eastAsia="微軟正黑體" w:hAnsi="微軟正黑體" w:hint="eastAsia"/>
          <w:color w:val="000000"/>
          <w:sz w:val="21"/>
          <w:szCs w:val="21"/>
        </w:rPr>
        <w:t>佔</w:t>
      </w:r>
      <w:proofErr w:type="gramEnd"/>
      <w:r>
        <w:rPr>
          <w:rFonts w:ascii="微軟正黑體" w:eastAsia="微軟正黑體" w:hAnsi="微軟正黑體" w:hint="eastAsia"/>
          <w:color w:val="000000"/>
          <w:sz w:val="21"/>
          <w:szCs w:val="21"/>
        </w:rPr>
        <w:t>分比例亦逐漸提高，可見學生除通過第一階段的成績篩選外，第二階段的表現為申請結果所帶來的影響亦不容小覷。</w:t>
      </w:r>
    </w:p>
    <w:p w:rsidR="009868BC" w:rsidRDefault="009A2003" w:rsidP="009868BC">
      <w:pPr>
        <w:pStyle w:val="Web"/>
        <w:rPr>
          <w:rFonts w:ascii="微軟正黑體" w:eastAsia="微軟正黑體" w:hAnsi="微軟正黑體" w:hint="eastAsia"/>
          <w:color w:val="000000"/>
          <w:sz w:val="27"/>
          <w:szCs w:val="27"/>
        </w:rPr>
      </w:pPr>
      <w:r>
        <w:rPr>
          <w:rFonts w:ascii="微軟正黑體" w:eastAsia="微軟正黑體" w:hAnsi="微軟正黑體"/>
          <w:noProof/>
          <w:color w:val="000000"/>
          <w:sz w:val="27"/>
          <w:szCs w:val="27"/>
        </w:rPr>
        <w:drawing>
          <wp:anchor distT="0" distB="0" distL="114300" distR="114300" simplePos="0" relativeHeight="251659264" behindDoc="0" locked="0" layoutInCell="1" allowOverlap="1" wp14:anchorId="397F67C8" wp14:editId="67BD339A">
            <wp:simplePos x="0" y="0"/>
            <wp:positionH relativeFrom="column">
              <wp:posOffset>2724150</wp:posOffset>
            </wp:positionH>
            <wp:positionV relativeFrom="paragraph">
              <wp:posOffset>3203575</wp:posOffset>
            </wp:positionV>
            <wp:extent cx="2299335" cy="1761490"/>
            <wp:effectExtent l="0" t="0" r="5715" b="0"/>
            <wp:wrapThrough wrapText="bothSides">
              <wp:wrapPolygon edited="0">
                <wp:start x="0" y="0"/>
                <wp:lineTo x="0" y="21257"/>
                <wp:lineTo x="21475" y="21257"/>
                <wp:lineTo x="21475" y="0"/>
                <wp:lineTo x="0" y="0"/>
              </wp:wrapPolygon>
            </wp:wrapThrough>
            <wp:docPr id="10" name="圖片 10" descr="http://www.thsh.tp.edu.tw/mediafile/4160011/editimg/5cc6477e9c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thsh.tp.edu.tw/mediafile/4160011/editimg/5cc6477e9c8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335" cy="176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微軟正黑體" w:eastAsia="微軟正黑體" w:hAnsi="微軟正黑體"/>
          <w:noProof/>
          <w:color w:val="000000"/>
          <w:sz w:val="27"/>
          <w:szCs w:val="27"/>
        </w:rPr>
        <w:drawing>
          <wp:anchor distT="0" distB="0" distL="114300" distR="114300" simplePos="0" relativeHeight="251661312" behindDoc="0" locked="0" layoutInCell="1" allowOverlap="1" wp14:anchorId="1CC4B856" wp14:editId="41E0711E">
            <wp:simplePos x="0" y="0"/>
            <wp:positionH relativeFrom="column">
              <wp:posOffset>2724150</wp:posOffset>
            </wp:positionH>
            <wp:positionV relativeFrom="paragraph">
              <wp:posOffset>5022850</wp:posOffset>
            </wp:positionV>
            <wp:extent cx="2299335" cy="1722755"/>
            <wp:effectExtent l="0" t="0" r="5715" b="0"/>
            <wp:wrapThrough wrapText="bothSides">
              <wp:wrapPolygon edited="0">
                <wp:start x="0" y="0"/>
                <wp:lineTo x="0" y="21258"/>
                <wp:lineTo x="21475" y="21258"/>
                <wp:lineTo x="21475" y="0"/>
                <wp:lineTo x="0" y="0"/>
              </wp:wrapPolygon>
            </wp:wrapThrough>
            <wp:docPr id="12" name="圖片 12" descr="http://www.thsh.tp.edu.tw/mediafile/4160011/editimg/5cc647cdef2f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thsh.tp.edu.tw/mediafile/4160011/editimg/5cc647cdef2f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335" cy="172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微軟正黑體" w:eastAsia="微軟正黑體" w:hAnsi="微軟正黑體"/>
          <w:noProof/>
          <w:color w:val="000000"/>
          <w:sz w:val="27"/>
          <w:szCs w:val="27"/>
        </w:rPr>
        <w:drawing>
          <wp:anchor distT="0" distB="0" distL="114300" distR="114300" simplePos="0" relativeHeight="251660288" behindDoc="0" locked="0" layoutInCell="1" allowOverlap="1" wp14:anchorId="5A605660" wp14:editId="3CDE8FD8">
            <wp:simplePos x="0" y="0"/>
            <wp:positionH relativeFrom="column">
              <wp:posOffset>266700</wp:posOffset>
            </wp:positionH>
            <wp:positionV relativeFrom="paragraph">
              <wp:posOffset>5003800</wp:posOffset>
            </wp:positionV>
            <wp:extent cx="2350135" cy="1762125"/>
            <wp:effectExtent l="0" t="0" r="0" b="9525"/>
            <wp:wrapThrough wrapText="bothSides">
              <wp:wrapPolygon edited="0">
                <wp:start x="0" y="0"/>
                <wp:lineTo x="0" y="21483"/>
                <wp:lineTo x="21361" y="21483"/>
                <wp:lineTo x="21361" y="0"/>
                <wp:lineTo x="0" y="0"/>
              </wp:wrapPolygon>
            </wp:wrapThrough>
            <wp:docPr id="11" name="圖片 11" descr="http://www.thsh.tp.edu.tw/mediafile/4160011/editimg/5cc647b434f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thsh.tp.edu.tw/mediafile/4160011/editimg/5cc647b434f9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13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68BC">
        <w:rPr>
          <w:rFonts w:ascii="微軟正黑體" w:eastAsia="微軟正黑體" w:hAnsi="微軟正黑體"/>
          <w:noProof/>
          <w:color w:val="000000"/>
          <w:sz w:val="27"/>
          <w:szCs w:val="27"/>
        </w:rPr>
        <w:drawing>
          <wp:anchor distT="0" distB="0" distL="114300" distR="114300" simplePos="0" relativeHeight="251658240" behindDoc="0" locked="0" layoutInCell="1" allowOverlap="1" wp14:anchorId="045CC4C3" wp14:editId="75F5263B">
            <wp:simplePos x="0" y="0"/>
            <wp:positionH relativeFrom="column">
              <wp:posOffset>266700</wp:posOffset>
            </wp:positionH>
            <wp:positionV relativeFrom="paragraph">
              <wp:posOffset>3203575</wp:posOffset>
            </wp:positionV>
            <wp:extent cx="2350560" cy="1762125"/>
            <wp:effectExtent l="0" t="0" r="0" b="0"/>
            <wp:wrapThrough wrapText="bothSides">
              <wp:wrapPolygon edited="0">
                <wp:start x="0" y="0"/>
                <wp:lineTo x="0" y="21250"/>
                <wp:lineTo x="21361" y="21250"/>
                <wp:lineTo x="21361" y="0"/>
                <wp:lineTo x="0" y="0"/>
              </wp:wrapPolygon>
            </wp:wrapThrough>
            <wp:docPr id="9" name="圖片 9" descr="http://www.thsh.tp.edu.tw/mediafile/4160011/editimg/5cc6474d74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thsh.tp.edu.tw/mediafile/4160011/editimg/5cc6474d745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56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68BC">
        <w:rPr>
          <w:rFonts w:ascii="微軟正黑體" w:eastAsia="微軟正黑體" w:hAnsi="微軟正黑體" w:hint="eastAsia"/>
          <w:color w:val="000000"/>
          <w:sz w:val="21"/>
          <w:szCs w:val="21"/>
        </w:rPr>
        <w:t>        因此，為了協助高三同學增進面試的應對技巧與臨場反應能力，輔導室於108年3月27日(三)下午很榮幸地邀請到</w:t>
      </w:r>
      <w:proofErr w:type="gramStart"/>
      <w:r w:rsidR="009868BC">
        <w:rPr>
          <w:rFonts w:ascii="微軟正黑體" w:eastAsia="微軟正黑體" w:hAnsi="微軟正黑體" w:hint="eastAsia"/>
          <w:color w:val="000000"/>
          <w:sz w:val="21"/>
          <w:szCs w:val="21"/>
        </w:rPr>
        <w:t>世</w:t>
      </w:r>
      <w:proofErr w:type="gramEnd"/>
      <w:r w:rsidR="009868BC">
        <w:rPr>
          <w:rFonts w:ascii="微軟正黑體" w:eastAsia="微軟正黑體" w:hAnsi="微軟正黑體" w:hint="eastAsia"/>
          <w:color w:val="000000"/>
          <w:sz w:val="21"/>
          <w:szCs w:val="21"/>
        </w:rPr>
        <w:t>新大學秦</w:t>
      </w:r>
      <w:proofErr w:type="gramStart"/>
      <w:r w:rsidR="009868BC">
        <w:rPr>
          <w:rFonts w:ascii="微軟正黑體" w:eastAsia="微軟正黑體" w:hAnsi="微軟正黑體" w:hint="eastAsia"/>
          <w:color w:val="000000"/>
          <w:sz w:val="21"/>
          <w:szCs w:val="21"/>
        </w:rPr>
        <w:t>琍琍</w:t>
      </w:r>
      <w:proofErr w:type="gramEnd"/>
      <w:r w:rsidR="009868BC">
        <w:rPr>
          <w:rFonts w:ascii="微軟正黑體" w:eastAsia="微軟正黑體" w:hAnsi="微軟正黑體" w:hint="eastAsia"/>
          <w:color w:val="000000"/>
          <w:sz w:val="21"/>
          <w:szCs w:val="21"/>
        </w:rPr>
        <w:t>教授撥冗蒞校，與同學們分享面談心法與做法。秦教授以「縱深思考」與「逆向思考」為軸，從生涯規劃、說服溝通、思維模式等角度切入，與同學們分享面試過程中必須留意的各項細節。秦教授以幽默、雙向互動的方式引導同學們思考面試過程可能發生的各種情況，並運用同學們隨機的發言內容做更深入的討論，藉此讓同學們不單只有知識的汲取，更能以實例進行學習，同時亦能調整修正個人的面試技巧。</w:t>
      </w:r>
    </w:p>
    <w:p w:rsidR="009868BC" w:rsidRDefault="009A2003" w:rsidP="009868BC">
      <w:pPr>
        <w:pStyle w:val="Web"/>
        <w:jc w:val="center"/>
        <w:rPr>
          <w:rFonts w:ascii="微軟正黑體" w:eastAsia="微軟正黑體" w:hAnsi="微軟正黑體" w:hint="eastAsia"/>
          <w:color w:val="000000"/>
          <w:sz w:val="27"/>
          <w:szCs w:val="27"/>
        </w:rPr>
      </w:pPr>
      <w:r>
        <w:rPr>
          <w:rFonts w:ascii="微軟正黑體" w:eastAsia="微軟正黑體" w:hAnsi="微軟正黑體"/>
          <w:noProof/>
          <w:color w:val="000000"/>
          <w:sz w:val="27"/>
          <w:szCs w:val="27"/>
        </w:rPr>
        <w:lastRenderedPageBreak/>
        <w:drawing>
          <wp:anchor distT="0" distB="0" distL="114300" distR="114300" simplePos="0" relativeHeight="251665408" behindDoc="0" locked="0" layoutInCell="1" allowOverlap="1" wp14:anchorId="1841F930" wp14:editId="360164A1">
            <wp:simplePos x="0" y="0"/>
            <wp:positionH relativeFrom="column">
              <wp:posOffset>2667000</wp:posOffset>
            </wp:positionH>
            <wp:positionV relativeFrom="paragraph">
              <wp:posOffset>1952625</wp:posOffset>
            </wp:positionV>
            <wp:extent cx="2360930" cy="1770380"/>
            <wp:effectExtent l="0" t="0" r="1270" b="1270"/>
            <wp:wrapThrough wrapText="bothSides">
              <wp:wrapPolygon edited="0">
                <wp:start x="0" y="0"/>
                <wp:lineTo x="0" y="21383"/>
                <wp:lineTo x="21437" y="21383"/>
                <wp:lineTo x="21437" y="0"/>
                <wp:lineTo x="0" y="0"/>
              </wp:wrapPolygon>
            </wp:wrapThrough>
            <wp:docPr id="16" name="圖片 16" descr="http://www.thsh.tp.edu.tw/mediafile/4160011/editimg/5cc6480e5e0f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thsh.tp.edu.tw/mediafile/4160011/editimg/5cc6480e5e0f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930" cy="177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微軟正黑體" w:eastAsia="微軟正黑體" w:hAnsi="微軟正黑體"/>
          <w:noProof/>
          <w:color w:val="000000"/>
          <w:sz w:val="27"/>
          <w:szCs w:val="27"/>
        </w:rPr>
        <w:drawing>
          <wp:anchor distT="0" distB="0" distL="114300" distR="114300" simplePos="0" relativeHeight="251664384" behindDoc="0" locked="0" layoutInCell="1" allowOverlap="1" wp14:anchorId="6EEB30E9" wp14:editId="4FC05274">
            <wp:simplePos x="0" y="0"/>
            <wp:positionH relativeFrom="column">
              <wp:posOffset>238125</wp:posOffset>
            </wp:positionH>
            <wp:positionV relativeFrom="paragraph">
              <wp:posOffset>1952625</wp:posOffset>
            </wp:positionV>
            <wp:extent cx="2362200" cy="1770380"/>
            <wp:effectExtent l="0" t="0" r="0" b="1270"/>
            <wp:wrapThrough wrapText="bothSides">
              <wp:wrapPolygon edited="0">
                <wp:start x="0" y="0"/>
                <wp:lineTo x="0" y="21383"/>
                <wp:lineTo x="21426" y="21383"/>
                <wp:lineTo x="21426" y="0"/>
                <wp:lineTo x="0" y="0"/>
              </wp:wrapPolygon>
            </wp:wrapThrough>
            <wp:docPr id="15" name="圖片 15" descr="http://www.thsh.tp.edu.tw/mediafile/4160011/editimg/5cc647ffeae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thsh.tp.edu.tw/mediafile/4160011/editimg/5cc647ffeae8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77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微軟正黑體" w:eastAsia="微軟正黑體" w:hAnsi="微軟正黑體"/>
          <w:noProof/>
          <w:color w:val="000000"/>
          <w:sz w:val="27"/>
          <w:szCs w:val="27"/>
        </w:rPr>
        <w:drawing>
          <wp:anchor distT="0" distB="0" distL="114300" distR="114300" simplePos="0" relativeHeight="251663360" behindDoc="0" locked="0" layoutInCell="1" allowOverlap="1" wp14:anchorId="20281711" wp14:editId="3D09A25F">
            <wp:simplePos x="0" y="0"/>
            <wp:positionH relativeFrom="column">
              <wp:posOffset>2667000</wp:posOffset>
            </wp:positionH>
            <wp:positionV relativeFrom="paragraph">
              <wp:posOffset>76200</wp:posOffset>
            </wp:positionV>
            <wp:extent cx="2362200" cy="1770380"/>
            <wp:effectExtent l="0" t="0" r="0" b="1270"/>
            <wp:wrapThrough wrapText="bothSides">
              <wp:wrapPolygon edited="0">
                <wp:start x="0" y="0"/>
                <wp:lineTo x="0" y="21383"/>
                <wp:lineTo x="21426" y="21383"/>
                <wp:lineTo x="21426" y="0"/>
                <wp:lineTo x="0" y="0"/>
              </wp:wrapPolygon>
            </wp:wrapThrough>
            <wp:docPr id="14" name="圖片 14" descr="http://www.thsh.tp.edu.tw/mediafile/4160011/editimg/5cc647eef1a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thsh.tp.edu.tw/mediafile/4160011/editimg/5cc647eef1ae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77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68BC">
        <w:rPr>
          <w:rFonts w:ascii="微軟正黑體" w:eastAsia="微軟正黑體" w:hAnsi="微軟正黑體"/>
          <w:noProof/>
          <w:color w:val="000000"/>
          <w:sz w:val="27"/>
          <w:szCs w:val="27"/>
        </w:rPr>
        <w:drawing>
          <wp:anchor distT="0" distB="0" distL="114300" distR="114300" simplePos="0" relativeHeight="251662336" behindDoc="0" locked="0" layoutInCell="1" allowOverlap="1" wp14:anchorId="35A6DD05" wp14:editId="5D79DFBB">
            <wp:simplePos x="0" y="0"/>
            <wp:positionH relativeFrom="column">
              <wp:posOffset>238125</wp:posOffset>
            </wp:positionH>
            <wp:positionV relativeFrom="paragraph">
              <wp:posOffset>75565</wp:posOffset>
            </wp:positionV>
            <wp:extent cx="2362200" cy="1770380"/>
            <wp:effectExtent l="0" t="0" r="0" b="1270"/>
            <wp:wrapThrough wrapText="bothSides">
              <wp:wrapPolygon edited="0">
                <wp:start x="0" y="0"/>
                <wp:lineTo x="0" y="21383"/>
                <wp:lineTo x="21426" y="21383"/>
                <wp:lineTo x="21426" y="0"/>
                <wp:lineTo x="0" y="0"/>
              </wp:wrapPolygon>
            </wp:wrapThrough>
            <wp:docPr id="13" name="圖片 13" descr="http://www.thsh.tp.edu.tw/mediafile/4160011/editimg/5cc647ddcc4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thsh.tp.edu.tw/mediafile/4160011/editimg/5cc647ddcc41b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77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68BC">
        <w:rPr>
          <w:rFonts w:ascii="微軟正黑體" w:eastAsia="微軟正黑體" w:hAnsi="微軟正黑體" w:hint="eastAsia"/>
          <w:color w:val="000000"/>
          <w:sz w:val="27"/>
          <w:szCs w:val="27"/>
        </w:rPr>
        <w:t>  </w:t>
      </w:r>
    </w:p>
    <w:p w:rsidR="00C13BE2" w:rsidRDefault="00C13BE2"/>
    <w:sectPr w:rsidR="00C13BE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8BC"/>
    <w:rsid w:val="007112D9"/>
    <w:rsid w:val="009868BC"/>
    <w:rsid w:val="009A2003"/>
    <w:rsid w:val="00B352D1"/>
    <w:rsid w:val="00C1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0F50C"/>
  <w15:chartTrackingRefBased/>
  <w15:docId w15:val="{5B86A3DA-9257-46AE-821D-53C1F2BF2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標楷體" w:eastAsia="標楷體" w:hAnsi="標楷體" w:cs="新細明體"/>
        <w:color w:val="000000"/>
        <w:w w:val="90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9868BC"/>
    <w:pPr>
      <w:widowControl/>
      <w:spacing w:before="100" w:beforeAutospacing="1" w:after="100" w:afterAutospacing="1"/>
    </w:pPr>
    <w:rPr>
      <w:rFonts w:ascii="新細明體" w:eastAsia="新細明體" w:hAnsi="新細明體"/>
      <w:color w:val="auto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589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2019-06-14T06:54:00Z</dcterms:created>
  <dcterms:modified xsi:type="dcterms:W3CDTF">2019-06-14T08:02:00Z</dcterms:modified>
</cp:coreProperties>
</file>